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A6FD" w14:textId="77777777" w:rsidR="00F524EA" w:rsidRPr="00F524EA" w:rsidRDefault="00F524EA" w:rsidP="00F52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 xml:space="preserve">Načelo „ne nanosi bitnu štetu“ (eng. „Do no </w:t>
      </w:r>
      <w:proofErr w:type="spellStart"/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>significant</w:t>
      </w:r>
      <w:proofErr w:type="spellEnd"/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>harm</w:t>
      </w:r>
      <w:proofErr w:type="spellEnd"/>
      <w:r w:rsidRPr="00F524EA">
        <w:rPr>
          <w:rFonts w:ascii="Times New Roman" w:eastAsia="Times New Roman" w:hAnsi="Times New Roman" w:cs="Times New Roman"/>
          <w:b/>
          <w:sz w:val="24"/>
          <w:szCs w:val="24"/>
        </w:rPr>
        <w:t>“) okolišnim ciljevima</w:t>
      </w:r>
    </w:p>
    <w:p w14:paraId="55A5054F" w14:textId="77777777" w:rsidR="00F524EA" w:rsidRDefault="00F524EA" w:rsidP="00F524EA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36C999E4" w14:textId="77777777" w:rsidR="00F524EA" w:rsidRPr="00F524EA" w:rsidRDefault="00F524EA" w:rsidP="00F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Ulaganje u cjelovitu obnovu zgrada treba biti usklađeno s načelom </w:t>
      </w:r>
      <w:proofErr w:type="spellStart"/>
      <w:r w:rsidRPr="00F524EA">
        <w:rPr>
          <w:rFonts w:ascii="Times New Roman" w:eastAsia="Times New Roman" w:hAnsi="Times New Roman" w:cs="Times New Roman"/>
          <w:sz w:val="24"/>
          <w:szCs w:val="24"/>
        </w:rPr>
        <w:t>nenanošenja</w:t>
      </w:r>
      <w:proofErr w:type="spellEnd"/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 bitne štete (Do no </w:t>
      </w:r>
      <w:proofErr w:type="spellStart"/>
      <w:r w:rsidRPr="00F524EA"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4EA">
        <w:rPr>
          <w:rFonts w:ascii="Times New Roman" w:eastAsia="Times New Roman" w:hAnsi="Times New Roman" w:cs="Times New Roman"/>
          <w:sz w:val="24"/>
          <w:szCs w:val="24"/>
        </w:rPr>
        <w:t>harm</w:t>
      </w:r>
      <w:proofErr w:type="spellEnd"/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 - DNSH), odnosno ne smije nanijeti bitnu štetu okolišnim ciljevima u smislu članka 17. Uredbe (EU) 2020/852 Europskog parlamenta i Vijeća od 18. lipnja 2020. godine o uspostavi okvira za olakšavanje održivih ulaganja i izmjeni Uredbe (EU) 2019/2088, što je u skladu s Uredbom o uspostavi Mehanizma za oporavak i otpornost. </w:t>
      </w:r>
    </w:p>
    <w:p w14:paraId="6F2192C5" w14:textId="77777777" w:rsidR="00F524EA" w:rsidRPr="00F524EA" w:rsidRDefault="00F524EA" w:rsidP="00F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892B0" w14:textId="77777777" w:rsidR="00F524EA" w:rsidRDefault="00F524EA" w:rsidP="00F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4EA">
        <w:rPr>
          <w:rFonts w:ascii="Times New Roman" w:eastAsia="Times New Roman" w:hAnsi="Times New Roman" w:cs="Times New Roman"/>
          <w:sz w:val="24"/>
          <w:szCs w:val="24"/>
        </w:rPr>
        <w:t>U okviru NPOO-a u sklopu investicije C6.1. R1-I2 Obnova zgrada oštećenih u potresu s energetskom obnovom osigurana su sredstva za sveobuhvatnu obnovu višestambenih zgrada i zgrada javnog sektora oštećenih u potresu kako bi se sanirala nastala oštećenja te povećala mehanička otpornost i stabilnost zgrade, povećala energetska učinkovitost i korištenje obnovljivih izvora energije, smanjila emisija CO</w:t>
      </w:r>
      <w:r w:rsidRPr="00F524E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F524EA">
        <w:rPr>
          <w:rFonts w:ascii="Times New Roman" w:eastAsia="Times New Roman" w:hAnsi="Times New Roman" w:cs="Times New Roman"/>
          <w:sz w:val="24"/>
          <w:szCs w:val="24"/>
        </w:rPr>
        <w:t>, dugoročno smanjili troškovi održavanja, povećali zdravi unutarnji klimatski uvjeti, povećala sigurnost od požara, i ublažilo energetsko siromaštvo.</w:t>
      </w:r>
    </w:p>
    <w:p w14:paraId="41F06558" w14:textId="77777777" w:rsidR="00F524EA" w:rsidRPr="00F524EA" w:rsidRDefault="00F524EA" w:rsidP="00F5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4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6CC11A" w14:textId="77777777" w:rsidR="00F524EA" w:rsidRDefault="00F52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za osiguranje načela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nenanošenja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FFC">
        <w:rPr>
          <w:rFonts w:ascii="Times New Roman" w:hAnsi="Times New Roman" w:cs="Times New Roman"/>
          <w:sz w:val="24"/>
          <w:szCs w:val="24"/>
        </w:rPr>
        <w:t>bitne štete:</w:t>
      </w:r>
    </w:p>
    <w:tbl>
      <w:tblPr>
        <w:tblW w:w="9072" w:type="dxa"/>
        <w:tblInd w:w="-10" w:type="dxa"/>
        <w:tblBorders>
          <w:top w:val="single" w:sz="8" w:space="0" w:color="A8D08D"/>
          <w:left w:val="single" w:sz="8" w:space="0" w:color="A8D08D"/>
          <w:bottom w:val="single" w:sz="8" w:space="0" w:color="A8D08D"/>
          <w:right w:val="single" w:sz="8" w:space="0" w:color="A8D08D"/>
          <w:insideH w:val="single" w:sz="8" w:space="0" w:color="A8D08D"/>
          <w:insideV w:val="single" w:sz="8" w:space="0" w:color="A8D08D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F524EA" w:rsidRPr="00F524EA" w14:paraId="41E5EAC0" w14:textId="77777777" w:rsidTr="00A44071">
        <w:trPr>
          <w:trHeight w:val="832"/>
        </w:trPr>
        <w:tc>
          <w:tcPr>
            <w:tcW w:w="2835" w:type="dxa"/>
            <w:shd w:val="clear" w:color="000000" w:fill="4DB17B"/>
            <w:vAlign w:val="center"/>
            <w:hideMark/>
          </w:tcPr>
          <w:p w14:paraId="6D38DE01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Okolišni cilj</w:t>
            </w:r>
          </w:p>
        </w:tc>
        <w:tc>
          <w:tcPr>
            <w:tcW w:w="6237" w:type="dxa"/>
            <w:shd w:val="clear" w:color="000000" w:fill="4DB17B"/>
            <w:vAlign w:val="center"/>
            <w:hideMark/>
          </w:tcPr>
          <w:p w14:paraId="39A9CB38" w14:textId="77777777" w:rsidR="00F524EA" w:rsidRPr="00F524EA" w:rsidRDefault="00F524EA" w:rsidP="00F524EA">
            <w:pPr>
              <w:spacing w:after="0" w:line="276" w:lineRule="auto"/>
              <w:ind w:left="-11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 xml:space="preserve">  Usklađenost investicije s DNSH načelom</w:t>
            </w:r>
          </w:p>
        </w:tc>
      </w:tr>
      <w:tr w:rsidR="00F524EA" w:rsidRPr="00F524EA" w14:paraId="385F482E" w14:textId="77777777" w:rsidTr="00A44071">
        <w:trPr>
          <w:trHeight w:val="973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C6BA590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I.</w:t>
            </w:r>
          </w:p>
          <w:p w14:paraId="38BB48AC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Ublažavanje klimatskih promjena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14:paraId="03DFD3A4" w14:textId="77777777" w:rsidR="0082215A" w:rsidRDefault="0082215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8221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Obnovom zgrada postići će se prosječna ušteda primarne energije (</w:t>
            </w:r>
            <w:proofErr w:type="spellStart"/>
            <w:r w:rsidRPr="008221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Eprim</w:t>
            </w:r>
            <w:proofErr w:type="spellEnd"/>
            <w:r w:rsidRPr="008221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) od najmanje 30%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(</w:t>
            </w:r>
            <w:r w:rsidR="00F31D3D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na razini komponente NPOO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)</w:t>
            </w:r>
            <w:r w:rsidRPr="0082215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u odnosu na stanje prije obnove i smanjenje emisija stakleničkih plinova.</w:t>
            </w:r>
          </w:p>
          <w:p w14:paraId="3CC6F64C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Zgrade koje će se obnoviti nisu namijenjene vađenju, skladištenju, transportu ili proizvodnji fosilnih goriva.</w:t>
            </w:r>
          </w:p>
          <w:p w14:paraId="37E39288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Financiranje ugradnje kotlova i sustava grijanja na prirodni plin će biti u skladu s člankom 7. stavkom 2. Uredbe (EU) 2017/1369 o okviru za označivanje energetske učinkovitosti (1), a ugrađuju se u zgrade koje su uključene u širi program energetske obnove zgrada, u skladu s Dugoročnom strategijom obnove nacionalnog fonda zgrada do 2050., u skladu s Direktivom o energetskim svojstvima zgrada, i dovode do znatnog poboljšanja energetske učinkovitosti. </w:t>
            </w:r>
          </w:p>
          <w:p w14:paraId="30794BD7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vertAlign w:val="subscript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U slučaju zamjene postojećih neučinkovitih sustava grijanja i kotlova (npr. na bazi ugljena ili loživog ulja ili standardnih postojećih plinskih kotlova/ bojlera) s visokoučinkovitim kondenzacijskim kotlovima na plin biti će zadovoljen uvjet da zamjena dovodi do znatnog smanjenja emisija stakleničkih plinova, i znatnog unapređenja okoliša (osobito zbog smanjenja onečišćenja) i javnog zdravlja, posebno na područjima na kojima su EU-ovi pragovi za kvalitetu zraka utvrđeni Direktivom 2008/50/EU premašeni ili bi mogli biti premašeni, npr. pri zamjeni sustava grijanja i kotlova na bazi ugljena ili loživog ulja, obzirom da su kondenzacijski bojleri barem 30% energetski učinkovitiji te generiraju 30% manje emisija od postojećih neučinkovitih sustava grijanja i kotlova koji će biti zamijenjeni u sklopu obnove. Potpora takvim bojlerima neće predstavljati više od 20% investicije.</w:t>
            </w:r>
          </w:p>
        </w:tc>
      </w:tr>
      <w:tr w:rsidR="00F524EA" w:rsidRPr="00F524EA" w14:paraId="442A7D8C" w14:textId="77777777" w:rsidTr="00A44071">
        <w:trPr>
          <w:trHeight w:hRule="exact" w:val="143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A60D4B8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II.</w:t>
            </w:r>
          </w:p>
          <w:p w14:paraId="2FCD5FAD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Prilagođavanje klimatskim promjenama</w:t>
            </w:r>
          </w:p>
          <w:p w14:paraId="74DC389A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14:paraId="3F745419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Klimatski rizici koji bi mogli biti relevantni za svako ulaganje u okviru ove mjere identificirani su u nacionalnoj Strategiji prilagodbe klimatskim promjenama u Republici Hrvatskoj za razdoblje 2040. godine s pogledom na 2070. godinu.</w:t>
            </w:r>
          </w:p>
          <w:p w14:paraId="6CCB0923" w14:textId="77777777" w:rsidR="00F524EA" w:rsidRPr="00F524EA" w:rsidRDefault="00F524EA" w:rsidP="00F52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524EA" w:rsidRPr="00F524EA" w14:paraId="6C4C2D9B" w14:textId="77777777" w:rsidTr="00A44071">
        <w:trPr>
          <w:trHeight w:hRule="exact" w:val="3825"/>
        </w:trPr>
        <w:tc>
          <w:tcPr>
            <w:tcW w:w="2835" w:type="dxa"/>
            <w:shd w:val="clear" w:color="000000" w:fill="FFFFFF"/>
            <w:vAlign w:val="center"/>
          </w:tcPr>
          <w:p w14:paraId="2D1F4B30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III.</w:t>
            </w:r>
          </w:p>
          <w:p w14:paraId="2494366C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Održiva uporaba i zaštita voda i morskih resursa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14:paraId="64F899BC" w14:textId="77777777" w:rsidR="00F524EA" w:rsidRPr="00F524EA" w:rsidRDefault="00F524EA" w:rsidP="00F524E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Novi uređaji za vodu koji se ugrađuju u javne zgrade moraju biti u skladu s utvrđenim razinama uštede vode s načelima DNSH.</w:t>
            </w:r>
          </w:p>
          <w:p w14:paraId="302EAC98" w14:textId="77777777" w:rsidR="00F524EA" w:rsidRPr="00F524EA" w:rsidRDefault="00F524EA" w:rsidP="00F524E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 kontekstu uštede vode za javne zgrade, moraju se ugraditi uređaji za vodu koji su u skladu sa: </w:t>
            </w:r>
          </w:p>
          <w:p w14:paraId="09A02142" w14:textId="77777777" w:rsidR="00F524EA" w:rsidRPr="00F524EA" w:rsidRDefault="00F524EA" w:rsidP="00F524E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slavine za umivaonike i kuhinjske slavine imaju maksimalan protok vode od 6 litara / min; </w:t>
            </w:r>
          </w:p>
          <w:p w14:paraId="5F2892E1" w14:textId="77777777" w:rsidR="00F524EA" w:rsidRPr="00F524EA" w:rsidRDefault="00F524EA" w:rsidP="00F524E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tuševi imaju maksimalni protok vode od 8 litara / min; </w:t>
            </w:r>
          </w:p>
          <w:p w14:paraId="32979A88" w14:textId="77777777" w:rsidR="00F524EA" w:rsidRPr="00F524EA" w:rsidRDefault="00F524EA" w:rsidP="00F524E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WC-i, uključujući apartmane, posude i cisterne, imaju puni volumen ispiranja od najviše 6 litara i maksimalni prosječni volumen ispiranja od 3,5 litara; </w:t>
            </w:r>
          </w:p>
          <w:p w14:paraId="7D10103F" w14:textId="77777777" w:rsidR="00F524EA" w:rsidRPr="00F524EA" w:rsidRDefault="00F524EA" w:rsidP="00F524EA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pisoari koriste najviše 2 litre / zdjelu / sat, pisoari za ispiranje imaju maksimalni puni volumen ispiranja od 1 litre.</w:t>
            </w:r>
          </w:p>
        </w:tc>
      </w:tr>
      <w:tr w:rsidR="00F524EA" w:rsidRPr="00F524EA" w14:paraId="36744F32" w14:textId="77777777" w:rsidTr="00A44071">
        <w:trPr>
          <w:trHeight w:hRule="exact" w:val="3964"/>
        </w:trPr>
        <w:tc>
          <w:tcPr>
            <w:tcW w:w="2835" w:type="dxa"/>
            <w:shd w:val="clear" w:color="000000" w:fill="FFFFFF"/>
            <w:vAlign w:val="center"/>
          </w:tcPr>
          <w:p w14:paraId="417E82BA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IV.</w:t>
            </w:r>
          </w:p>
          <w:p w14:paraId="2D69F74F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Kružno gospodarstvo, uključujući prevenciju otpada i recikliranje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14:paraId="55414E17" w14:textId="77777777" w:rsidR="00F524EA" w:rsidRPr="00F524EA" w:rsidRDefault="00F524EA" w:rsidP="00F524E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4EA">
              <w:rPr>
                <w:rFonts w:ascii="Times New Roman" w:eastAsia="Times New Roman" w:hAnsi="Times New Roman" w:cs="Times New Roman"/>
              </w:rPr>
              <w:t>Gospodarski subjekti koji provode obnovu ograničavaju stvaranje otpada u procesima koji se odnose na izgradnju i rušenje u skladu s EU Protokolom o gospodarenju otpadom od gradnje i rušenja i uzimajući u obzir najbolje dostupne tehnike i korištenje selektivnog rušenja kako bi se omogućilo uklanjanje i sigurno rukovanje opasnih tvari te olakšavaju ponovnu upotrebu i visokokvalitetnu reciklažu selektivnim uklanjanjem materijala, koristeći dostupne sustave za sortiranje građevinskog otpada i otpada od rušenja. Građevinski projekti i građevinske tehnike podržavaju kružnost i posebno demonstriraju, pozivajući se na ISO 20887 ili drugi standard za procjenu rastavljivosti ili prilagodljivosti zgrada, kako su dizajnirani da budu učinkovitiji u pogledu resursa, prilagodljivi, fleksibilni i rastavljivi kako bi omogućili ponovnu upotrebu i recikliranje.</w:t>
            </w:r>
          </w:p>
          <w:p w14:paraId="455DB1A1" w14:textId="77777777" w:rsidR="00F524EA" w:rsidRPr="00F524EA" w:rsidRDefault="00F524EA" w:rsidP="00F524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F524EA" w:rsidRPr="00F524EA" w14:paraId="71490FAA" w14:textId="77777777" w:rsidTr="00A44071">
        <w:trPr>
          <w:trHeight w:hRule="exact" w:val="8100"/>
        </w:trPr>
        <w:tc>
          <w:tcPr>
            <w:tcW w:w="2835" w:type="dxa"/>
            <w:shd w:val="clear" w:color="000000" w:fill="FFFFFF"/>
            <w:vAlign w:val="center"/>
          </w:tcPr>
          <w:p w14:paraId="270F059C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V.</w:t>
            </w:r>
          </w:p>
          <w:p w14:paraId="0657005A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Prevencija onečišćenja i kontrola zraka, vode ili tla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14:paraId="52B52588" w14:textId="77777777" w:rsidR="00F524EA" w:rsidRPr="00F524EA" w:rsidRDefault="00F524EA" w:rsidP="00F524E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4EA">
              <w:rPr>
                <w:rFonts w:ascii="Times New Roman" w:eastAsia="Times New Roman" w:hAnsi="Times New Roman" w:cs="Times New Roman"/>
              </w:rPr>
              <w:t>Od operatora koji provode obnovu morat će se osigurati da građevinski dijelovi i materijali korišteni u obnovi zgrade ne sadrže azbest niti tvari koje izazivaju veliku zabrinutost, kako je utvrđeno na temelju popisa tvari za koje je potrebno odobrenje iz Priloga XIV. Uredbe (EZ) br. 1907/2006.</w:t>
            </w:r>
          </w:p>
          <w:p w14:paraId="0A6DAC06" w14:textId="77777777" w:rsidR="00F524EA" w:rsidRPr="00F524EA" w:rsidRDefault="00F524EA" w:rsidP="00F524E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4EA">
              <w:rPr>
                <w:rFonts w:ascii="Times New Roman" w:eastAsia="Times New Roman" w:hAnsi="Times New Roman" w:cs="Times New Roman"/>
              </w:rPr>
              <w:t>Od operatora koji provode obnovu morat će se osigurati da građevinski dijelovi i materijali korišteni u zgradi, koji mogu doći u kontakt sa stanarima, emitiraju manje od 0,06 mg formaldehida po m</w:t>
            </w:r>
            <w:r w:rsidRPr="00F524EA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F524EA">
              <w:rPr>
                <w:rFonts w:ascii="Times New Roman" w:eastAsia="Times New Roman" w:hAnsi="Times New Roman" w:cs="Times New Roman"/>
              </w:rPr>
              <w:t xml:space="preserve"> materijala ili komponente i manje od 0,001 mg kategorija 1A i 1B kancerogenih hlapljivih organskih spojeva po m</w:t>
            </w:r>
            <w:r w:rsidRPr="00F524EA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F524EA">
              <w:rPr>
                <w:rFonts w:ascii="Times New Roman" w:eastAsia="Times New Roman" w:hAnsi="Times New Roman" w:cs="Times New Roman"/>
              </w:rPr>
              <w:t xml:space="preserve"> materijala ili komponente, nakon ispitivanja u skladu s CEN / TS 16516 i ISO 16000-3 ili drugim usporedivim standardiziranim uvjetima ispitivanja i metodom određivanja.</w:t>
            </w:r>
          </w:p>
          <w:p w14:paraId="2C6D1EF3" w14:textId="77777777" w:rsidR="00F524EA" w:rsidRPr="00F524EA" w:rsidRDefault="00F524EA" w:rsidP="00F524E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4EA">
              <w:rPr>
                <w:rFonts w:ascii="Times New Roman" w:eastAsia="Times New Roman" w:hAnsi="Times New Roman" w:cs="Times New Roman"/>
              </w:rPr>
              <w:t>Poduzet će se mjere za smanjenje emisije buke, prašine i onečišćujućih tvari tijekom građevinskih radova, sukladno Zakonu o gradnji članku 133. Uređenje gradilišta koji zahtijeva da se na gradilištu predvide i provode mjere zaštite na radu te ostale mjere za zaštitu života i zdravlja ljudi u skladu s posebnim propisima, te kojima se onečišćenje zraka, tla i podzemnih voda te buka svode na najmanju mjeru. Tako će se prilikom obnove zgrade radovi izvoditi samo u dnevnom razdoblju, svi rastresiti materijali će biti sklonjeni (prekrivanjem ili po potrebi vlaženjem) kako bi se spriječilo rasipanje tijekom kiše i vjetra, a sva uklanjanja i demontaže građevnih elemenata i materijala vršit će se tehnikama koje sprečavaju širenje prašine i štetnih tvari na susjedne površine, te će se kada je potrebno koristiti zaštitne ograde.</w:t>
            </w:r>
          </w:p>
        </w:tc>
      </w:tr>
      <w:tr w:rsidR="00F524EA" w:rsidRPr="00F524EA" w14:paraId="7A3F33D2" w14:textId="77777777" w:rsidTr="00A44071">
        <w:trPr>
          <w:trHeight w:hRule="exact" w:val="2417"/>
        </w:trPr>
        <w:tc>
          <w:tcPr>
            <w:tcW w:w="2835" w:type="dxa"/>
            <w:shd w:val="clear" w:color="000000" w:fill="FFFFFF"/>
            <w:vAlign w:val="center"/>
          </w:tcPr>
          <w:p w14:paraId="1AEAE03A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VI.</w:t>
            </w:r>
          </w:p>
          <w:p w14:paraId="3FA8C11A" w14:textId="77777777" w:rsidR="00F524EA" w:rsidRPr="00F524EA" w:rsidRDefault="00F524EA" w:rsidP="00F524E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524E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Zaštita i obnova biološke raznolikosti i ekosustava</w:t>
            </w:r>
          </w:p>
        </w:tc>
        <w:tc>
          <w:tcPr>
            <w:tcW w:w="6237" w:type="dxa"/>
            <w:tcBorders>
              <w:bottom w:val="single" w:sz="8" w:space="0" w:color="A8D08D"/>
            </w:tcBorders>
            <w:shd w:val="clear" w:color="000000" w:fill="FFFFFF"/>
            <w:vAlign w:val="center"/>
          </w:tcPr>
          <w:p w14:paraId="4804C67B" w14:textId="77777777" w:rsidR="00F524EA" w:rsidRPr="00F524EA" w:rsidRDefault="00F524EA" w:rsidP="00F524E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24EA">
              <w:rPr>
                <w:rFonts w:ascii="Times New Roman" w:eastAsia="Times New Roman" w:hAnsi="Times New Roman" w:cs="Times New Roman"/>
              </w:rPr>
              <w:t>Aktivnosti obnove zgrada imaju beznačajno predvidljivi utjecaj na ovaj okolišni cilj, uzimajući u obzir izravne i primarne neizravne učinke tijekom životnog ciklusa. Većina zgrada koje će se obnoviti kroz program obnove neće se nalaziti u ili u blizini područja osjetljivih na biološku raznolikost (uključujući mrežu zaštićenih područja Natura 2000, područja svjetske baštine UNESCO-a i ključna područja biološke raznolikosti, kao i druga zaštićena područja) jer je riječ o postojećim zgradama u izgrađenom području.</w:t>
            </w:r>
          </w:p>
        </w:tc>
      </w:tr>
    </w:tbl>
    <w:p w14:paraId="65B40901" w14:textId="77777777" w:rsidR="00F524EA" w:rsidRDefault="00F524EA"/>
    <w:sectPr w:rsidR="00F524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1AF2" w14:textId="77777777" w:rsidR="00E84024" w:rsidRDefault="00E84024" w:rsidP="005E18B6">
      <w:pPr>
        <w:spacing w:after="0" w:line="240" w:lineRule="auto"/>
      </w:pPr>
      <w:r>
        <w:separator/>
      </w:r>
    </w:p>
  </w:endnote>
  <w:endnote w:type="continuationSeparator" w:id="0">
    <w:p w14:paraId="7A97AEA8" w14:textId="77777777" w:rsidR="00E84024" w:rsidRDefault="00E84024" w:rsidP="005E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BAC3" w14:textId="77777777" w:rsidR="00E84024" w:rsidRDefault="00E84024" w:rsidP="005E18B6">
      <w:pPr>
        <w:spacing w:after="0" w:line="240" w:lineRule="auto"/>
      </w:pPr>
      <w:r>
        <w:separator/>
      </w:r>
    </w:p>
  </w:footnote>
  <w:footnote w:type="continuationSeparator" w:id="0">
    <w:p w14:paraId="484EBF68" w14:textId="77777777" w:rsidR="00E84024" w:rsidRDefault="00E84024" w:rsidP="005E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912B" w14:textId="54DCB3E9" w:rsidR="005E18B6" w:rsidRPr="005E18B6" w:rsidRDefault="005E18B6">
    <w:pPr>
      <w:pStyle w:val="Zaglavlje"/>
      <w:rPr>
        <w:b/>
        <w:bCs/>
      </w:rPr>
    </w:pPr>
    <w:r w:rsidRPr="005E18B6">
      <w:rPr>
        <w:b/>
        <w:bCs/>
      </w:rPr>
      <w:t>Primjena DNSH načela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31097"/>
    <w:multiLevelType w:val="hybridMultilevel"/>
    <w:tmpl w:val="330E275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EA"/>
    <w:rsid w:val="00351910"/>
    <w:rsid w:val="00582FFC"/>
    <w:rsid w:val="005E18B6"/>
    <w:rsid w:val="0082215A"/>
    <w:rsid w:val="009061A2"/>
    <w:rsid w:val="00E84024"/>
    <w:rsid w:val="00F31D3D"/>
    <w:rsid w:val="00F5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74A8"/>
  <w15:chartTrackingRefBased/>
  <w15:docId w15:val="{30918C79-1D54-4F93-8414-B98F9013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8B6"/>
  </w:style>
  <w:style w:type="paragraph" w:styleId="Podnoje">
    <w:name w:val="footer"/>
    <w:basedOn w:val="Normal"/>
    <w:link w:val="PodnojeChar"/>
    <w:uiPriority w:val="99"/>
    <w:unhideWhenUsed/>
    <w:rsid w:val="005E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Pauković</dc:creator>
  <cp:keywords/>
  <dc:description/>
  <cp:lastModifiedBy>Mate Kristo</cp:lastModifiedBy>
  <cp:revision>6</cp:revision>
  <dcterms:created xsi:type="dcterms:W3CDTF">2022-01-24T16:26:00Z</dcterms:created>
  <dcterms:modified xsi:type="dcterms:W3CDTF">2022-02-08T15:37:00Z</dcterms:modified>
</cp:coreProperties>
</file>